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298</w:t>
      </w:r>
    </w:p>
    <w:p>
      <w:r>
        <w:t>Bundesgericht (BGE), 1980-05-02, FR</w:t>
      </w:r>
    </w:p>
    <w:p>
      <w:r>
        <w:rPr>
          <w:b/>
        </w:rPr>
        <w:t xml:space="preserve">Quelle: </w:t>
      </w:r>
      <w:r>
        <w:t>https://mcp.opencaselaw.ch/entscheid/bge_106 IV 298</w:t>
      </w:r>
    </w:p>
    <w:p>
      <w:r>
        <w:t>FR: ATF 106 IV 298</w:t>
      </w:r>
    </w:p>
    <w:p>
      <w:r>
        <w:t>IT: DTF 106 IV 298</w:t>
      </w:r>
    </w:p>
    <w:p>
      <w:pPr>
        <w:pStyle w:val="Heading2"/>
      </w:pPr>
      <w:r>
        <w:t>Regeste</w:t>
      </w:r>
    </w:p>
    <w:p>
      <w:r>
        <w:t>Regeste Art. 17 UWG, Art. 1 AO. Individuelle oder individualisierte Ankündigungen stellen eine öffentliche Ankündigung dar, wenn sie an eine grosse Zahl von Personen gerichtet werden. Daran ändert nichts ein Vermerk wie "persönlich, nicht übertragbar", wenn die Zahl der Adressaten jede ernsthafte Kontrolle ihrer Identität ausschliesst.</w:t>
      </w:r>
    </w:p>
    <w:p>
      <w:pPr>
        <w:pStyle w:val="Heading2"/>
      </w:pPr>
      <w:r>
        <w:t>Erwägungen</w:t>
      </w:r>
    </w:p>
    <w:p>
      <w:r>
        <w:rPr>
          <w:b/>
        </w:rPr>
        <w:t>E. 1</w:t>
      </w:r>
    </w:p>
    <w:p>
      <w:r>
        <w:t>Selon le recourant, ce qui fait "l'annonce publique", ce n'est pas le nombre de personnes touchées, mais la manière dont l'auteur s'est adressé à elles. Il ne saurait en conséquence y avoir "annonce publique" là où les personnes visées ont été atteintes par des notifications individuelles, intervenues à la suite d'un choix fondé sur les caractéristiques personnelles de chaque destinataire. Tel serait le cas en l'espèce où les cartes litigieuses, qui portaient de surcroît la mention "personnel, pas transmissible!", ont été envoyées expressément et nommément aux clients de la Société I. S.A. En revanche, il y aurait "annonce publique" au regard de la loi lorsque la notification intervient collectivement, l'identité des personnes touchées dépendant alors du seul hasard.</w:t>
      </w:r>
    </w:p>
    <w:p>
      <w:r>
        <w:rPr>
          <w:b/>
        </w:rPr>
        <w:t>E. 2</w:t>
      </w:r>
    </w:p>
    <w:p>
      <w:r>
        <w:t>a) Il est malaisé de tracer une frontière nette et objective entre les annonces "publiques" et celles qui ne le sont pas. BGE 106 IV 298 S. 300 Le Tribunal supérieur de Zurich a amorcé une solution en considérant, le 1er juillet 1957, dans le cadre de l' art. 152 CP (BJP 1957 no 200) qu'une publication est faite au public aussitôt qu'un nombre non limité de personnes peut en prendre connaissance, par hasard. Ce point de vue se rapproche de celui de la jurisprudence allemande relative au § 186 du Code pénal allemand, pour laquelle une diffamation est rendue publique "wenn sie von einem grösseren, individuell nicht begrenzten und durch nähere Beziehung nicht verbundenen Personenkreis unmittelbar wahrgenommen werden kann" (cf. Commentaire de SCHÖNKE/SCHRÖDER no 19). b) On ne saurait toutefois prendre l'expression "cercle non déterminé de personnes" au pied de la lettre sans s'exposer à vider de leur substance les dispositions légales qui font appel à la notion de communication ou d'annonces faites au public. En effet, les moyens techniques modernes rendent extrêmement facile, le recourant le dit lui-même, la communication individualisée d'écrits en réalité destinés à tous: il suffit d'ailleurs d'ouvrir sa boîte aux lettres pour s'en persuader. Il n'existe dès lors aucun critère objectif permettant de caractériser la communication intervenue à titre proprement individuel et personnel lorsqu'elle touche un grand nombre d'individus. C'est pourquoi la doctrine fait appel à des critères subjectifs et ne sépare des communications et annonces faites au public que les "private Mitteilungen und Auskünfte an einzelne Personen" (THORMANN/VON OVERBECK, n. 5 ad art. 152), les "communications... à quelques personnes déterminées seulement" (LOGOZ, n. 2 a, p. 167, ad art. 152), la "private Auskunft an einzelne Personen" (GERMANN, Verbrechen, n. 4, p. 283, ad art. 152, ainsi que STRATENWERTH, part. spéc. I p. 248 infra). Une position analogue existe dans la doctrine italienne relative à l'art. 501 CPI, pour laquelle seule n'est pas punissable la communication "fatta in via reservata ad una persona o a un numero ristrettissimo di persone" (ANTOLISEI, Manuale di diritto penale, part. spéc., t. XV p. 845; V. MANZINI, Trattato, t. VII, no 2439 III p. 39) et française (cf. Encyclopédie DALLOZ, Droit commercial, vol. 4, sous "Publicité mensongère" no 14). c) Si l'on admet que la notion de "communications et annonces faites au public" doit être interprétée extensivement, le Conseil fédéral n'a nullement excédé le large pouvoir d'appréciation qui est le sien (cf. ATF 101 Ib 144 ss), lorsqu'à BGE 106 IV 298 S. 301 l' art. 1 al. 2 OL qui est fondé sur l' art. 17 al. 4 LCD , il a qualifié d'annonces publiques celles "faites par le moyen de la presse... de lettres ou cartes répandues dans un grand cercle d'acheteurs, de journaux destinés à la clientèle... ou par tout autre procédé approprié". Le recourant ne le conteste d'ailleurs pas. Or il ressort expressément de cette disposition que l'envoi de cartes répandues dans un grand cercle d'acheteurs constitue une annonce publique au même titre que l'envoi de journaux destinés à la clientèle, envoi qui intervient le plus souvent par la poste et qui nécessite alors l'indication de l'adresse de chaque destinataire qui est ainsi individualisé. Il s'ensuit que le fait pour des cartes d'être adressées nommément à des personnes dont le cercle est strictement délimité par la liste d'adressage ne leur enlève nullement le caractère d'annonce publique. La circulaire explicative du 16 avril 1947 (FF 1947 II 73) qui a été publiée en même temps que l'OL ne permet pas de tirer d'autres conclusions. En effet, on ne saurait assimiler les lettres ou cartes répandues dans un grand cercle d'acheteurs à celles "adressées à certains clients personnellement" qui ne sont pas considérées comme des annonces publiques: les premières sont, comme en l'espèce, adressées à une clientèle choisie in abstracto, tandis que les secondes sont envoyées à des clients bien précis, choisis en fonction de leurs besoins spécifiques et personnels que l'expéditeur connaît individuellement. d) La jurisprudence a jusqu'ici également donné une interprétation large de l'annonce publique. Ainsi, dans un arrêt Krause du 14 juin 1957, un envoi par la poste de 50'000 cartes de clients à des destinataires résidant avant tout dans le canton et la ville de Zurich a-t-il été qualifié d'annonce publique. De même on peut lire aux ATF 92 IV 149 , en confirmation expresse de l'arrêt qui précède, qu'une telle annonce ne doit pas nécessairement être adressée au public en général ou à un cercle indéterminé de personnes, mais qu'elle peut consister en une communication faite à des personnes déterminées, mais dont le nombre est important, par exemple à une classe précise de clientèle ou à des clients déjà connus. Il n'y a aucun motif de revenir sur cette jurisprudence. e) Il est vrai que sur les cartes en cause figure la mention "Personnel, pas transmissible". Ce point est toutefois dénué de toute pertinence, car le grand nombre même des destinataires (26'000) et l'impossibilité pratique dans laquelle l'expéditeur se BGE 106 IV 298 S. 302 serait trouvé de vérifier le respect de sa volonté suffit à démontrer que l'on se trouve devant une véritable clause de style destinée à donner le change à l'autorité. Comment en effet s'assurer que seul l'un des destinataires présentera la carte octroyant un rabais de 10% dans l'une des succursales de la chaîne, si la présentation simultanée d'un document établissant l'identité du porteur n'est pas exigée? Et comment une telle présentation pourra-t-elle être exigée si cela n'est pas annoncé sur la carte même? Il y a lieu de faire application ici mutatis mutandis des considérants émis aux ATF 92 IV 150 lettre b. Le pourvoi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